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8E6" w:rsidRPr="006E08E6" w:rsidRDefault="006E08E6" w:rsidP="006E08E6">
      <w:pPr>
        <w:widowControl/>
        <w:shd w:val="clear" w:color="auto" w:fill="FFFFFF"/>
        <w:spacing w:line="360" w:lineRule="auto"/>
        <w:jc w:val="center"/>
        <w:outlineLvl w:val="1"/>
        <w:rPr>
          <w:rFonts w:ascii="方正小标宋简体" w:eastAsia="方正小标宋简体" w:hAnsi="Segoe UI" w:cs="Segoe UI" w:hint="eastAsia"/>
          <w:b/>
          <w:bCs/>
          <w:color w:val="333333"/>
          <w:kern w:val="0"/>
          <w:sz w:val="40"/>
          <w:szCs w:val="32"/>
        </w:rPr>
      </w:pPr>
      <w:r w:rsidRPr="006E08E6">
        <w:rPr>
          <w:rFonts w:ascii="方正小标宋简体" w:eastAsia="方正小标宋简体" w:hAnsi="Segoe UI" w:cs="Segoe UI" w:hint="eastAsia"/>
          <w:b/>
          <w:bCs/>
          <w:color w:val="333333"/>
          <w:kern w:val="0"/>
          <w:sz w:val="40"/>
          <w:szCs w:val="32"/>
        </w:rPr>
        <w:t>《行政事业性国有资产管理条例》</w:t>
      </w:r>
    </w:p>
    <w:p w:rsidR="006E08E6" w:rsidRPr="00CF1FF2" w:rsidRDefault="006E08E6" w:rsidP="006E08E6">
      <w:pPr>
        <w:pStyle w:val="a3"/>
        <w:shd w:val="clear" w:color="auto" w:fill="FFFFFF"/>
        <w:spacing w:before="0" w:beforeAutospacing="0" w:after="0" w:afterAutospacing="0" w:line="360" w:lineRule="auto"/>
        <w:jc w:val="center"/>
        <w:rPr>
          <w:rFonts w:ascii="Segoe UI" w:hAnsi="Segoe UI" w:cs="Segoe UI"/>
          <w:color w:val="333333"/>
          <w:sz w:val="28"/>
          <w:szCs w:val="32"/>
        </w:rPr>
      </w:pPr>
      <w:r w:rsidRPr="00CF1FF2">
        <w:rPr>
          <w:rStyle w:val="a4"/>
          <w:rFonts w:ascii="仿宋" w:eastAsia="仿宋" w:hAnsi="仿宋" w:cs="Segoe UI" w:hint="eastAsia"/>
          <w:color w:val="333333"/>
          <w:spacing w:val="15"/>
          <w:sz w:val="28"/>
          <w:szCs w:val="32"/>
        </w:rPr>
        <w:t>中华人民共和国国务院令</w:t>
      </w:r>
    </w:p>
    <w:p w:rsidR="006E08E6" w:rsidRPr="00CF1FF2" w:rsidRDefault="006E08E6" w:rsidP="006E08E6">
      <w:pPr>
        <w:pStyle w:val="a3"/>
        <w:shd w:val="clear" w:color="auto" w:fill="FFFFFF"/>
        <w:spacing w:before="0" w:beforeAutospacing="0" w:after="0" w:afterAutospacing="0" w:line="360" w:lineRule="auto"/>
        <w:jc w:val="center"/>
        <w:rPr>
          <w:rFonts w:ascii="Segoe UI" w:hAnsi="Segoe UI" w:cs="Segoe UI"/>
          <w:color w:val="333333"/>
          <w:sz w:val="28"/>
          <w:szCs w:val="32"/>
        </w:rPr>
      </w:pPr>
      <w:r w:rsidRPr="00CF1FF2">
        <w:rPr>
          <w:rStyle w:val="a4"/>
          <w:rFonts w:ascii="仿宋" w:eastAsia="仿宋" w:hAnsi="仿宋" w:cs="Segoe UI" w:hint="eastAsia"/>
          <w:color w:val="333333"/>
          <w:spacing w:val="15"/>
          <w:sz w:val="28"/>
          <w:szCs w:val="32"/>
        </w:rPr>
        <w:t>第738号</w:t>
      </w:r>
    </w:p>
    <w:p w:rsidR="006E08E6" w:rsidRPr="006E08E6" w:rsidRDefault="006E08E6" w:rsidP="006E08E6">
      <w:pPr>
        <w:pStyle w:val="a3"/>
        <w:shd w:val="clear" w:color="auto" w:fill="FFFFFF"/>
        <w:spacing w:before="0" w:beforeAutospacing="0" w:after="0" w:afterAutospacing="0" w:line="360" w:lineRule="auto"/>
        <w:jc w:val="center"/>
        <w:rPr>
          <w:rFonts w:ascii="Segoe UI" w:hAnsi="Segoe UI" w:cs="Segoe UI"/>
          <w:color w:val="333333"/>
          <w:sz w:val="32"/>
          <w:szCs w:val="32"/>
        </w:rPr>
      </w:pPr>
      <w:r w:rsidRPr="006E08E6">
        <w:rPr>
          <w:rFonts w:ascii="Calibri" w:eastAsia="仿宋" w:hAnsi="Calibri" w:cs="Calibri"/>
          <w:color w:val="333333"/>
          <w:spacing w:val="15"/>
          <w:sz w:val="32"/>
          <w:szCs w:val="32"/>
        </w:rPr>
        <w:t> </w:t>
      </w:r>
    </w:p>
    <w:p w:rsidR="006E08E6" w:rsidRPr="006E08E6" w:rsidRDefault="006E08E6" w:rsidP="006E08E6">
      <w:pPr>
        <w:pStyle w:val="a3"/>
        <w:shd w:val="clear" w:color="auto" w:fill="FFFFFF"/>
        <w:spacing w:before="0" w:beforeAutospacing="0" w:after="0" w:afterAutospacing="0" w:line="360" w:lineRule="auto"/>
        <w:rPr>
          <w:rFonts w:ascii="Segoe UI" w:hAnsi="Segoe UI" w:cs="Segoe UI"/>
          <w:color w:val="333333"/>
          <w:sz w:val="32"/>
          <w:szCs w:val="32"/>
        </w:rPr>
      </w:pPr>
      <w:r w:rsidRPr="006E08E6">
        <w:rPr>
          <w:rFonts w:ascii="Segoe UI" w:hAnsi="Segoe UI" w:cs="Segoe UI"/>
          <w:color w:val="333333"/>
          <w:sz w:val="32"/>
          <w:szCs w:val="32"/>
        </w:rPr>
        <w:t xml:space="preserve">　　</w:t>
      </w:r>
      <w:r w:rsidRPr="006E08E6">
        <w:rPr>
          <w:rFonts w:ascii="仿宋" w:eastAsia="仿宋" w:hAnsi="仿宋" w:cs="Segoe UI" w:hint="eastAsia"/>
          <w:color w:val="333333"/>
          <w:spacing w:val="15"/>
          <w:sz w:val="32"/>
          <w:szCs w:val="32"/>
        </w:rPr>
        <w:t>《行政事业性国有资产管理条例》已经2020年12月30日国务院第120次常务会议通过，现予公布，自2021年4月1日起施行。</w:t>
      </w:r>
    </w:p>
    <w:p w:rsidR="006E08E6" w:rsidRPr="006E08E6" w:rsidRDefault="006E08E6" w:rsidP="006E08E6">
      <w:pPr>
        <w:pStyle w:val="a3"/>
        <w:shd w:val="clear" w:color="auto" w:fill="FFFFFF"/>
        <w:spacing w:before="0" w:beforeAutospacing="0" w:after="0" w:afterAutospacing="0" w:line="360" w:lineRule="auto"/>
        <w:jc w:val="right"/>
        <w:rPr>
          <w:rFonts w:ascii="Segoe UI" w:hAnsi="Segoe UI" w:cs="Segoe UI"/>
          <w:color w:val="333333"/>
          <w:sz w:val="32"/>
          <w:szCs w:val="32"/>
        </w:rPr>
      </w:pPr>
      <w:r w:rsidRPr="006E08E6">
        <w:rPr>
          <w:rFonts w:ascii="Calibri" w:eastAsia="仿宋" w:hAnsi="Calibri" w:cs="Calibri"/>
          <w:color w:val="333333"/>
          <w:spacing w:val="15"/>
          <w:sz w:val="32"/>
          <w:szCs w:val="32"/>
        </w:rPr>
        <w:t> </w:t>
      </w:r>
    </w:p>
    <w:p w:rsidR="006E08E6" w:rsidRPr="006E08E6" w:rsidRDefault="006E08E6" w:rsidP="006E08E6">
      <w:pPr>
        <w:pStyle w:val="a3"/>
        <w:shd w:val="clear" w:color="auto" w:fill="FFFFFF"/>
        <w:spacing w:before="0" w:beforeAutospacing="0" w:after="0" w:afterAutospacing="0" w:line="360" w:lineRule="auto"/>
        <w:jc w:val="right"/>
        <w:rPr>
          <w:rFonts w:ascii="Segoe UI" w:hAnsi="Segoe UI" w:cs="Segoe UI"/>
          <w:color w:val="333333"/>
          <w:sz w:val="32"/>
          <w:szCs w:val="32"/>
        </w:rPr>
      </w:pPr>
      <w:r w:rsidRPr="006E08E6">
        <w:rPr>
          <w:rStyle w:val="a4"/>
          <w:rFonts w:ascii="仿宋" w:eastAsia="仿宋" w:hAnsi="仿宋" w:cs="Segoe UI" w:hint="eastAsia"/>
          <w:color w:val="333333"/>
          <w:spacing w:val="15"/>
          <w:sz w:val="32"/>
          <w:szCs w:val="32"/>
        </w:rPr>
        <w:t>总理</w:t>
      </w:r>
      <w:r w:rsidRPr="006E08E6">
        <w:rPr>
          <w:rStyle w:val="a4"/>
          <w:rFonts w:ascii="Calibri" w:hAnsi="Calibri" w:cs="Calibri"/>
          <w:color w:val="333333"/>
          <w:spacing w:val="15"/>
          <w:sz w:val="32"/>
          <w:szCs w:val="32"/>
        </w:rPr>
        <w:t> </w:t>
      </w:r>
      <w:r w:rsidRPr="006E08E6">
        <w:rPr>
          <w:rStyle w:val="a4"/>
          <w:rFonts w:ascii="仿宋" w:eastAsia="仿宋" w:hAnsi="仿宋" w:cs="Segoe UI" w:hint="eastAsia"/>
          <w:color w:val="333333"/>
          <w:spacing w:val="15"/>
          <w:sz w:val="32"/>
          <w:szCs w:val="32"/>
        </w:rPr>
        <w:t>李克强</w:t>
      </w:r>
    </w:p>
    <w:p w:rsidR="006E08E6" w:rsidRPr="006E08E6" w:rsidRDefault="006E08E6" w:rsidP="006E08E6">
      <w:pPr>
        <w:pStyle w:val="a3"/>
        <w:shd w:val="clear" w:color="auto" w:fill="FFFFFF"/>
        <w:spacing w:before="0" w:beforeAutospacing="0" w:after="0" w:afterAutospacing="0" w:line="360" w:lineRule="auto"/>
        <w:jc w:val="right"/>
        <w:rPr>
          <w:rFonts w:ascii="Segoe UI" w:hAnsi="Segoe UI" w:cs="Segoe UI"/>
          <w:color w:val="333333"/>
          <w:sz w:val="32"/>
          <w:szCs w:val="32"/>
        </w:rPr>
      </w:pPr>
      <w:r w:rsidRPr="006E08E6">
        <w:rPr>
          <w:rStyle w:val="a4"/>
          <w:rFonts w:ascii="仿宋" w:eastAsia="仿宋" w:hAnsi="仿宋" w:cs="Segoe UI" w:hint="eastAsia"/>
          <w:color w:val="333333"/>
          <w:spacing w:val="15"/>
          <w:sz w:val="32"/>
          <w:szCs w:val="32"/>
        </w:rPr>
        <w:t>2021年2月1日</w:t>
      </w:r>
    </w:p>
    <w:p w:rsidR="006E08E6" w:rsidRPr="006E08E6" w:rsidRDefault="006E08E6" w:rsidP="006E08E6">
      <w:pPr>
        <w:pStyle w:val="a3"/>
        <w:shd w:val="clear" w:color="auto" w:fill="FFFFFF"/>
        <w:spacing w:before="0" w:beforeAutospacing="0" w:after="0" w:afterAutospacing="0" w:line="360" w:lineRule="auto"/>
        <w:jc w:val="center"/>
        <w:rPr>
          <w:rFonts w:ascii="Segoe UI" w:hAnsi="Segoe UI" w:cs="Segoe UI"/>
          <w:color w:val="333333"/>
          <w:sz w:val="32"/>
          <w:szCs w:val="32"/>
        </w:rPr>
      </w:pPr>
      <w:r w:rsidRPr="006E08E6">
        <w:rPr>
          <w:rFonts w:ascii="Microsoft YaHei UI" w:eastAsia="Microsoft YaHei UI" w:hAnsi="Microsoft YaHei UI" w:cs="Segoe UI" w:hint="eastAsia"/>
          <w:color w:val="333333"/>
          <w:spacing w:val="15"/>
          <w:sz w:val="32"/>
          <w:szCs w:val="32"/>
        </w:rPr>
        <w:t> </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第一章　总　　则</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第一条　为了加强行政事业性国有资产管理与监督，健全国有资产管理体制，推进国家治理体系和治理能力现代化，根据全国人民代表大会常务委员会关于加强国有资产管理情况监督的决定，制定本条例。</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第二条　行政事业性国有资产，是指行政单位、事业单位通过以下方式取得或者形成的资产：</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（一）使用财政资金形成的资产；</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（二）接受调拨或者划转、置</w:t>
      </w:r>
      <w:bookmarkStart w:id="0" w:name="_GoBack"/>
      <w:bookmarkEnd w:id="0"/>
      <w:r w:rsidRPr="006E08E6">
        <w:rPr>
          <w:rFonts w:ascii="仿宋" w:eastAsia="仿宋" w:hAnsi="仿宋" w:cs="Segoe UI" w:hint="eastAsia"/>
          <w:color w:val="333333"/>
          <w:sz w:val="32"/>
          <w:szCs w:val="32"/>
        </w:rPr>
        <w:t>换形成的资产；</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（三）接受捐赠并确认为国有的资产；</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（四）其他国有资产。</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lastRenderedPageBreak/>
        <w:t>第三条　行政事业性国有资产属于国家所有，实行政府分级监管、各部门及其所属单位直接支配的管理体制。</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第四条　各级人民政府应当建立健全行政事业性国有资产管理机制，加强对本级行政事业性国有资产的管理，审查、批准重大行政事业性国有资产管理事项。</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第五条　国务院财政部门负责制定行政事业单位国有资产管理规章制度并负责组织实施和监督检查，牵头编制行政事业性国有资产管理情况报告。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相关部门根据职责规定，按照集中统一、分类分级原则，加强中央行政事业单位国有资产管理，优化管理手段，提高管理效率。</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第六条　各部门根据职责负责本部门及其所属单位国有资产管理工作，应当明确管理责任，指导、监督所属单位国有资产管理工作。各部门所属单位负责本单位行政事业性国有资产的具体管理，应当建立和完善内部控制管理制度。</w:t>
      </w:r>
    </w:p>
    <w:p w:rsidR="006E08E6" w:rsidRPr="006E08E6" w:rsidRDefault="006E08E6" w:rsidP="006E08E6">
      <w:pPr>
        <w:pStyle w:val="a3"/>
        <w:shd w:val="clear" w:color="auto" w:fill="FFFFFF"/>
        <w:spacing w:before="0" w:beforeAutospacing="0" w:after="0" w:afterAutospacing="0" w:line="360" w:lineRule="auto"/>
        <w:ind w:firstLine="645"/>
        <w:rPr>
          <w:rFonts w:ascii="Segoe UI" w:hAnsi="Segoe UI" w:cs="Segoe UI"/>
          <w:color w:val="333333"/>
          <w:sz w:val="32"/>
          <w:szCs w:val="32"/>
        </w:rPr>
      </w:pPr>
      <w:r w:rsidRPr="006E08E6">
        <w:rPr>
          <w:rFonts w:ascii="仿宋" w:eastAsia="仿宋" w:hAnsi="仿宋" w:cs="Segoe UI" w:hint="eastAsia"/>
          <w:color w:val="333333"/>
          <w:sz w:val="32"/>
          <w:szCs w:val="32"/>
        </w:rPr>
        <w:t>第七条　各部门及其所属单位管理行政事业性国有资产应当遵循安全规范、节约高效、公开透明、权责一致的</w:t>
      </w:r>
      <w:r w:rsidRPr="006E08E6">
        <w:rPr>
          <w:rFonts w:ascii="仿宋" w:eastAsia="仿宋" w:hAnsi="仿宋" w:cs="Segoe UI" w:hint="eastAsia"/>
          <w:color w:val="333333"/>
          <w:sz w:val="32"/>
          <w:szCs w:val="32"/>
        </w:rPr>
        <w:lastRenderedPageBreak/>
        <w:t>原则，实现实物管理与价值管理相统一，资产管理与预算管理、财务管理相结合。</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第二章　资产配置、使用和处置</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第八条　各部门及其所属单位应当根据依法履行职能和事业发展的需要，结合资产存量、资产配置标准、绩效目标和财政承受能力配置资产。</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第九条　各部门及其所属单位应当合理选择资产配置方式，资产配置重大事项应当经可行性研究和集体决策，资产价值较高的按照国家有关规定进行资产评估，并履行审批程序。资产配置包括调剂、购置、建设、租用、接受捐赠等方式。</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第十条　县级以上人民政府应当组织建立、完善资产配置标准体系，明确配置的数量、价值、等级、最低使用年限等标准。资产配置标准应当按照勤俭节约、讲求绩效和绿色环保的要求，根据国家有关政策、经济社会发展水平、市场价格变化、科学技术进步等因素适时调整。</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第十一条　各部门及其所属单位应当优先通过调剂方式配置资产。不能调剂的，可以采用购置、建设、租用等方式。</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第十二条　行政单位国有资产应当用于本单位履行职能的需要。除法律另有规定外，行政单位不得以任何形式将国有资产用于对外投资或者设立营利性组织。</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第十三条　事业单位国有资产应当用于保障事业发展、提供公共服务。</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第十四条　各部门及其所属单位应当加强对本单位固定资产、在建工程、流动资产、无形资产等各类国有资产的管理，明确管理责任，规范使用流程，加强产权保护，推进相关资产安全有效使用。</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第十五条　各部门及其所属单位应当明确资产使用人和管理人的岗位责任。资产使用人、管理人应当履行岗位责任，按照规程合理使用、管理资产，充分发挥资产效能。资产需要维修、保养、调剂、更新、报废的，资产使用人、管理人应当及时提出。资产使用人、管理人发生变化的，应当及时办理资产交接手续。</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第十六条　各部门及其所属单位接受捐赠的资产，应当按照捐赠约定的用途使用。捐赠人意愿不明确或者没有约定用途的，应当统筹安排使用。</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第十七条　事业单位利用国有资产对外投资应当有利于事业发展和实现国有资产保值增值，符合国家有关规定，经可行性研究和集体决策，按照规定权限和程序进行。事业单位应当明确对外投资形成的股权及其相关权益管理责任，按照规定将对外投资形成的股权纳入经营性国有资产集中统一监管体系。</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第十八条　县级以上人民政府及其有关部门应当建立健全国有资产共享共用机制，采取措施引导和鼓励国有资产共享共用，统筹规划有效推进国有资产共享共用工作。各部门及其所属单位应当在确保安全使用的前提下，推进本单位大型设备等国有资产共享共用工作，可以对提供方给予合理补偿。</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第十九条　各部门及其所属单位应当根据履行职能、事业发展需要和资产使用状况，经集体决策和履行审批程序，依据处置事项批复等相关文件及时处置行政事业性国有资产。</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第二十条　各部门及其所属单位应当将依法罚没的资产按照国家规定公开拍卖或者按照国家有关规定处理，所得款项全部上缴国库。</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第二十一条　各部门及其所属单位应当对下列资产及时予以报废、报损：（一）因技术原因确需淘汰或者无法维修、无维修价值的资产；（二）涉及盘亏、坏账以及非</w:t>
      </w:r>
      <w:proofErr w:type="gramStart"/>
      <w:r w:rsidRPr="006E08E6">
        <w:rPr>
          <w:rFonts w:ascii="仿宋_GB2312" w:eastAsia="仿宋_GB2312" w:hAnsi="Segoe UI" w:cs="Segoe UI" w:hint="eastAsia"/>
          <w:color w:val="333333"/>
          <w:sz w:val="32"/>
          <w:szCs w:val="32"/>
        </w:rPr>
        <w:t>正常损失</w:t>
      </w:r>
      <w:proofErr w:type="gramEnd"/>
      <w:r w:rsidRPr="006E08E6">
        <w:rPr>
          <w:rFonts w:ascii="仿宋_GB2312" w:eastAsia="仿宋_GB2312" w:hAnsi="Segoe UI" w:cs="Segoe UI" w:hint="eastAsia"/>
          <w:color w:val="333333"/>
          <w:sz w:val="32"/>
          <w:szCs w:val="32"/>
        </w:rPr>
        <w:t>的资产；（三）已超过使用年限且无法满足现有工作需要的资产；（四）因自然灾害等不可抗力造成毁损、灭失的资产。</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第二十二条　各部门及其所属单位发生分立、合并、改制、撤销、隶属关系改变或者部分职能、业务调整等情</w:t>
      </w:r>
      <w:r w:rsidRPr="006E08E6">
        <w:rPr>
          <w:rFonts w:ascii="仿宋_GB2312" w:eastAsia="仿宋_GB2312" w:hAnsi="Segoe UI" w:cs="Segoe UI" w:hint="eastAsia"/>
          <w:color w:val="333333"/>
          <w:sz w:val="32"/>
          <w:szCs w:val="32"/>
        </w:rPr>
        <w:lastRenderedPageBreak/>
        <w:t>形，应当根据国家有关规定办理相关国有资产划转、交接手续。</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第二十三条　国家设立的研究开发机构、高等院校对其持有的科技成果的使用和处置，依照《中华人民共和国促进科技成果转化法》、《中华人民共和国专利法》和国家有关规定执行。</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第三章　预算管理</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第二十四条　各部门及其所属单位购置、建设、租用资产应当提出资产配置需求，编制资产配置相关支出预算，并严格按照预算管理规定和财政部门批复的预算配置资产。</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第二十五条　行政单位国有资产出租和处置等收入，应当按照政府非税收入和国库集中收缴制度的有关规定管理。除国家另有规定外，事业单位国有资产的处置收入应当按照政府非税收入和国库集中收缴制度的有关规定管理。事业单位国有资产使用形成的收入，由本级人民政府财政部门规定具体管理办法。</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第二十六条　各部门及其所属单位应当及时收取各类资产收入，不得违反国家规定，多收、少收、不收、侵占、私分、截留、占用、挪用、隐匿、坐支。</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第二十七条　各部门及其所属单位应当在决算中全面、真实、准确反映其国有资产收入、支出以及国有资产存量情况。</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第二十八条　各部门及其所属单位应当按照国家规定建立国有资产绩效管理制度，建立健全绩效指标和标准，有序开展国有资产绩效管理工作。</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第二十九条　县级以上人民政府投资建设公共基础设施，应当依法落实资金来源，加强预算约束，防范政府债务风险，并明确公共基础设施的管理维护责任单位。</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第四章　基础管理</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第三十条　各部门及其所属单位应当按照国家规定设置行政事业性国有</w:t>
      </w:r>
      <w:proofErr w:type="gramStart"/>
      <w:r w:rsidRPr="006E08E6">
        <w:rPr>
          <w:rFonts w:ascii="仿宋_GB2312" w:eastAsia="仿宋_GB2312" w:hAnsi="Segoe UI" w:cs="Segoe UI" w:hint="eastAsia"/>
          <w:color w:val="333333"/>
          <w:sz w:val="32"/>
          <w:szCs w:val="32"/>
        </w:rPr>
        <w:t>资产台</w:t>
      </w:r>
      <w:proofErr w:type="gramEnd"/>
      <w:r w:rsidRPr="006E08E6">
        <w:rPr>
          <w:rFonts w:ascii="仿宋_GB2312" w:eastAsia="仿宋_GB2312" w:hAnsi="Segoe UI" w:cs="Segoe UI" w:hint="eastAsia"/>
          <w:color w:val="333333"/>
          <w:sz w:val="32"/>
          <w:szCs w:val="32"/>
        </w:rPr>
        <w:t>账，依照国家统一的会计制度进行会计核算，不得形成账外资产。</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第三十一条　各部门及其所属单位采用建设方式配置资产的，应当在建设项目竣工验收合格后及时办理资产交付手续，并在规定期限内办理竣工财务决算，期限最长不得超过1年。各部门及其所属单位对已交付但未办理竣工财务决算的建设项目，应当按照国家统一的会计制度确认资产价值。</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第三十二条　各部门及其所属单位对无法进行会计确认入账的资产，可以根据需要组织专家参照资产评估方法进行估价，并作为反映资产状况的依据。</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第三十三条　各部门及其所属单位应当明确资产的维护、保养、维修的岗位责任。因使用不当或者维护、保养、维修不及时造成资产损失的，应当依法承担责任。</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第三十四条　各部门及其所属单位应当定期或者不定期对资产进行盘点、对账。出现资产盘盈盘亏的，应当按照财务、会计和资产管理制度有关规定处理，做到账实相符和账</w:t>
      </w:r>
      <w:proofErr w:type="gramStart"/>
      <w:r w:rsidRPr="006E08E6">
        <w:rPr>
          <w:rFonts w:ascii="仿宋_GB2312" w:eastAsia="仿宋_GB2312" w:hAnsi="Segoe UI" w:cs="Segoe UI" w:hint="eastAsia"/>
          <w:color w:val="333333"/>
          <w:sz w:val="32"/>
          <w:szCs w:val="32"/>
        </w:rPr>
        <w:t>账</w:t>
      </w:r>
      <w:proofErr w:type="gramEnd"/>
      <w:r w:rsidRPr="006E08E6">
        <w:rPr>
          <w:rFonts w:ascii="仿宋_GB2312" w:eastAsia="仿宋_GB2312" w:hAnsi="Segoe UI" w:cs="Segoe UI" w:hint="eastAsia"/>
          <w:color w:val="333333"/>
          <w:sz w:val="32"/>
          <w:szCs w:val="32"/>
        </w:rPr>
        <w:t>相符。</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第三十五条　各部门及其所属单位处置资产应当及时核销相关</w:t>
      </w:r>
      <w:proofErr w:type="gramStart"/>
      <w:r w:rsidRPr="006E08E6">
        <w:rPr>
          <w:rFonts w:ascii="仿宋_GB2312" w:eastAsia="仿宋_GB2312" w:hAnsi="Segoe UI" w:cs="Segoe UI" w:hint="eastAsia"/>
          <w:color w:val="333333"/>
          <w:sz w:val="32"/>
          <w:szCs w:val="32"/>
        </w:rPr>
        <w:t>资产台</w:t>
      </w:r>
      <w:proofErr w:type="gramEnd"/>
      <w:r w:rsidRPr="006E08E6">
        <w:rPr>
          <w:rFonts w:ascii="仿宋_GB2312" w:eastAsia="仿宋_GB2312" w:hAnsi="Segoe UI" w:cs="Segoe UI" w:hint="eastAsia"/>
          <w:color w:val="333333"/>
          <w:sz w:val="32"/>
          <w:szCs w:val="32"/>
        </w:rPr>
        <w:t>账信息，同时进行会计处理。</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第三十六条　除国家另有规定外，各部门及其所属单位将行政事业性国有资产进行转让、拍卖、置换、对外投资等，应当按照国家有关规定进行资产评估。行政事业性国有资产以市场化方式出售、出租的，依照有关规定可以通过相应公共资源交易平台进行。</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第三十七条　有下列情形之一的，各部门及其所属单位应当对行政事业性国有资产进行清查：（一）根据本级政府部署要求；（二）发生重大资产调拨、划转以及单位分立、合并、改制、撤销、隶属关系改变等情形；（三）因自然灾害等不可抗力造成资产毁损、灭失；（四）会计信息严重失真；（五）国家统一的会计制度发生重大变更，涉及资产核算方法发生重要变化；（六）其他应当进行资产清查的情形。</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第三十八条　各部门及其所属单位资产清查结果和涉及资产核实的事项，应当按照国务院财政部门的规定履行审批程序。</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第三十九条　各部门及其所属单位在资产清查中发现账实不符、账</w:t>
      </w:r>
      <w:proofErr w:type="gramStart"/>
      <w:r w:rsidRPr="006E08E6">
        <w:rPr>
          <w:rFonts w:ascii="仿宋_GB2312" w:eastAsia="仿宋_GB2312" w:hAnsi="Segoe UI" w:cs="Segoe UI" w:hint="eastAsia"/>
          <w:color w:val="333333"/>
          <w:sz w:val="32"/>
          <w:szCs w:val="32"/>
        </w:rPr>
        <w:t>账</w:t>
      </w:r>
      <w:proofErr w:type="gramEnd"/>
      <w:r w:rsidRPr="006E08E6">
        <w:rPr>
          <w:rFonts w:ascii="仿宋_GB2312" w:eastAsia="仿宋_GB2312" w:hAnsi="Segoe UI" w:cs="Segoe UI" w:hint="eastAsia"/>
          <w:color w:val="333333"/>
          <w:sz w:val="32"/>
          <w:szCs w:val="32"/>
        </w:rPr>
        <w:t>不符的，应当查明原因予以说明，并随同清查结果一并履行审批程序。各部门及其所属单位应当根据审批结果及时调整</w:t>
      </w:r>
      <w:proofErr w:type="gramStart"/>
      <w:r w:rsidRPr="006E08E6">
        <w:rPr>
          <w:rFonts w:ascii="仿宋_GB2312" w:eastAsia="仿宋_GB2312" w:hAnsi="Segoe UI" w:cs="Segoe UI" w:hint="eastAsia"/>
          <w:color w:val="333333"/>
          <w:sz w:val="32"/>
          <w:szCs w:val="32"/>
        </w:rPr>
        <w:t>资产台</w:t>
      </w:r>
      <w:proofErr w:type="gramEnd"/>
      <w:r w:rsidRPr="006E08E6">
        <w:rPr>
          <w:rFonts w:ascii="仿宋_GB2312" w:eastAsia="仿宋_GB2312" w:hAnsi="Segoe UI" w:cs="Segoe UI" w:hint="eastAsia"/>
          <w:color w:val="333333"/>
          <w:sz w:val="32"/>
          <w:szCs w:val="32"/>
        </w:rPr>
        <w:t>账信息，同时进行会计处理。由于资产使用人、管理人的原因造成资产毁损、灭失的，应当依法追究相关责任。</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第四十条　各部门及其所属单位对需要办理权属登记的资产应当依法及时办理。对有账簿记录但权证手续不全的行政事业性国有资产，可以向本级政府有关主管部门提出确认资产权属申请，及时办理权属登记。</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第四十一条　各部门及其所属单位之间，各部门及其所属单位与其他单位和个人之间发生资产纠纷的，应当依照有关法律法规规定采取协商等方式处理。</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第四十二条　国务院财政部门应当建立全国行政事业性国有资产管理信息系统，推行资产管理网上办理，实现信息共享。</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第五章　资产报告</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第四十三条　国家建立行政事业性国有资产管理情况报告制度。国务院向全国人民代表大会常务委员会报告全国</w:t>
      </w:r>
      <w:r w:rsidRPr="006E08E6">
        <w:rPr>
          <w:rFonts w:ascii="仿宋_GB2312" w:eastAsia="仿宋_GB2312" w:hAnsi="Segoe UI" w:cs="Segoe UI" w:hint="eastAsia"/>
          <w:color w:val="333333"/>
          <w:sz w:val="32"/>
          <w:szCs w:val="32"/>
        </w:rPr>
        <w:lastRenderedPageBreak/>
        <w:t>行政事业性国有资产管理情况。县级以上地方人民政府按照规定向本级人民代表大会常务委员会报告行政事业性国有资产管理情况。</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第四十四条　行政事业性国有资产管理情况报告，主要包括资产负债总量，相关管理制度建立和实施，资产配置、使用、处置和效益，推进管理体制机制改革等情况。行政事业性国有资产管理情况按照国家有关规定向社会公开。</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第四十五条　各部门所属单位应当每年编制本单位行政事业性国有资产管理情况报告，逐级报送相关部门。各部门应当汇总编制本部门行政事业性国有资产管理情况报告，报送本级政府财政部门。</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第四十六条　县级以上地方人民政府财政部门应当每年汇总本级和下级行政事业性国有资产管理情况，报送本级政府和上一级政府财政部门。</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第六章　监督</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第四十七条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乡、民族乡、镇人民政府应当接受本级人民代表大会对行政事业性国有资产管理情况的监督。</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第四十八条　县级以上人民政府对下级政府的行政事业性国有资产管理情况进行监督。下级政府应当组织落实上一级政府提出的监管要求，并向上一级政府报告落实情况。</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第四十九条　县级以上人民政府财政部门应当对本级各部门及其所属单位行政事业性国有资产管理情况进行监督检查，依法向社会公开检查结果。</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第五十条　县级以上人民政府审计部门依法对行政事业性国有资产管理情况进行审计监督。</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第五十一条　各部门应当建立健全行政事业性国有资产监督管理制度，根据职责对本行业行政事业性国有资产管理依法进行监督。各部门所属单位应当制定行政事业性国有资产内部控制制度，防控行政事业性国有资产管理风险。</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第五十二条　公民、法人或者其他组织发现违反本条例的行为，有权向有关部门进行检举、控告。接受检举、控告的有关部门应当依法进行处理，并为检举人、控告人保密。任何单位或者个人不得压制和打击报复检举人、控告人。</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第七章　法律责任</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第五十三条　各部门及其所属单位有下列行为之一的，责令改正，情节较重的，对负有直接责任的主管人员和其</w:t>
      </w:r>
      <w:r w:rsidRPr="006E08E6">
        <w:rPr>
          <w:rFonts w:ascii="仿宋_GB2312" w:eastAsia="仿宋_GB2312" w:hAnsi="Segoe UI" w:cs="Segoe UI" w:hint="eastAsia"/>
          <w:color w:val="333333"/>
          <w:sz w:val="32"/>
          <w:szCs w:val="32"/>
        </w:rPr>
        <w:lastRenderedPageBreak/>
        <w:t>他直接责任人员依法给予处分：（一）配置、使用、处置国有资产未按照规定经集体决策或者履行审批程序；（二）超标准配置国有资产；（三）未按照规定办理国有资产调剂、调拨、划转、交接等手续；（四）未按照规定履行国有资产拍卖、报告、披露等程序；（五）未按照规定期限办理建设项目竣工财务决算；（六）未按照规定进行国有资产清查；（七）未按照规定设置国有</w:t>
      </w:r>
      <w:proofErr w:type="gramStart"/>
      <w:r w:rsidRPr="006E08E6">
        <w:rPr>
          <w:rFonts w:ascii="仿宋_GB2312" w:eastAsia="仿宋_GB2312" w:hAnsi="Segoe UI" w:cs="Segoe UI" w:hint="eastAsia"/>
          <w:color w:val="333333"/>
          <w:sz w:val="32"/>
          <w:szCs w:val="32"/>
        </w:rPr>
        <w:t>资产台</w:t>
      </w:r>
      <w:proofErr w:type="gramEnd"/>
      <w:r w:rsidRPr="006E08E6">
        <w:rPr>
          <w:rFonts w:ascii="仿宋_GB2312" w:eastAsia="仿宋_GB2312" w:hAnsi="Segoe UI" w:cs="Segoe UI" w:hint="eastAsia"/>
          <w:color w:val="333333"/>
          <w:sz w:val="32"/>
          <w:szCs w:val="32"/>
        </w:rPr>
        <w:t>账；（八）未按照规定编制、报送国有资产管理情况报告。</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第五十四条　各部门及其所属单位有下列行为之一的，责令改正，有违法所得的没收违法所得，情节较重的，对负有直接责任的主管人员和其他直接责任人员依法给予处分；构成犯罪的，依法追究刑事责任：（一）非法占有、使用国有资产或者采用弄虚作假等方式低价处置国有资产；（二）违反规定将国有资产用于对外投资或者设立营利性组织；（三）未按照规定评估国有资产导致国家利益损失；（四）其他违反本条例规定造成国有资产损失的行为。</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第五十五条　各部门及其所属单位在国有资产管理工作中有违反预算管理规定行为的，依照《中华人民共和国预算法》及其实施条例、《财政违法行为处罚处分条例》等法律、行政法规追究责任。</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lastRenderedPageBreak/>
        <w:t>第五十六条　各部门及其所属单位的工作人员在国有资产管理工作中滥用职权、玩忽职守、徇私舞弊或者有浪费国有资产等违法违规行为的，由有关部门依法给予处分；构成犯罪的，依法追究刑事责任。</w:t>
      </w:r>
    </w:p>
    <w:p w:rsidR="006E08E6" w:rsidRPr="006E08E6" w:rsidRDefault="006E08E6" w:rsidP="006E08E6">
      <w:pPr>
        <w:pStyle w:val="2"/>
        <w:shd w:val="clear" w:color="auto" w:fill="FFFFFF"/>
        <w:spacing w:before="0" w:beforeAutospacing="0" w:after="0" w:afterAutospacing="0" w:line="360" w:lineRule="auto"/>
        <w:jc w:val="center"/>
        <w:rPr>
          <w:rFonts w:ascii="Segoe UI" w:hAnsi="Segoe UI" w:cs="Segoe UI"/>
          <w:color w:val="333333"/>
          <w:sz w:val="32"/>
          <w:szCs w:val="32"/>
        </w:rPr>
      </w:pPr>
      <w:r w:rsidRPr="006E08E6">
        <w:rPr>
          <w:rStyle w:val="a4"/>
          <w:rFonts w:ascii="Microsoft YaHei UI" w:eastAsia="Microsoft YaHei UI" w:hAnsi="Microsoft YaHei UI" w:cs="Segoe UI" w:hint="eastAsia"/>
          <w:b/>
          <w:bCs/>
          <w:color w:val="333333"/>
          <w:spacing w:val="15"/>
          <w:sz w:val="32"/>
          <w:szCs w:val="32"/>
        </w:rPr>
        <w:t>第八章　附则</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第五十七条　除国家另有规定外，社会组织直接支配的行政事业性国有资产管理，依照本条例执行。</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第五十八条　货币形式的行政事业性国有资产管理，按照预算管理有关规定执行。执行企业财务、会计制度的事业单位以及事业单位对外投资的全资企业或者控股企业的资产管理，不适用本条例。</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第五十九条　公共基础设施、政府储备物资、国有文物文化等行政事业性国有资产管理的具体办法，由国务院财政部门会同有关部门制定。</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第六十条　中国人民解放军、中国人民武装警察部队直接支配的行政事业性国有资产管理，依照中央军事委员会有关规定执行。</w:t>
      </w:r>
    </w:p>
    <w:p w:rsidR="006E08E6" w:rsidRPr="006E08E6" w:rsidRDefault="006E08E6" w:rsidP="006E08E6">
      <w:pPr>
        <w:pStyle w:val="a3"/>
        <w:shd w:val="clear" w:color="auto" w:fill="FFFFFF"/>
        <w:spacing w:before="0" w:beforeAutospacing="0" w:after="0" w:afterAutospacing="0" w:line="360" w:lineRule="auto"/>
        <w:ind w:firstLine="600"/>
        <w:rPr>
          <w:rFonts w:ascii="Segoe UI" w:hAnsi="Segoe UI" w:cs="Segoe UI"/>
          <w:color w:val="333333"/>
          <w:sz w:val="32"/>
          <w:szCs w:val="32"/>
        </w:rPr>
      </w:pPr>
      <w:r w:rsidRPr="006E08E6">
        <w:rPr>
          <w:rFonts w:ascii="仿宋_GB2312" w:eastAsia="仿宋_GB2312" w:hAnsi="Segoe UI" w:cs="Segoe UI" w:hint="eastAsia"/>
          <w:color w:val="333333"/>
          <w:sz w:val="32"/>
          <w:szCs w:val="32"/>
        </w:rPr>
        <w:t>第六十一条　本条例自2021年4月1日起施行。</w:t>
      </w:r>
    </w:p>
    <w:p w:rsidR="005D68EA" w:rsidRPr="006E08E6" w:rsidRDefault="005D68EA" w:rsidP="006E08E6">
      <w:pPr>
        <w:spacing w:line="360" w:lineRule="auto"/>
        <w:rPr>
          <w:sz w:val="32"/>
          <w:szCs w:val="32"/>
        </w:rPr>
      </w:pPr>
    </w:p>
    <w:sectPr w:rsidR="005D68EA" w:rsidRPr="006E0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9E"/>
    <w:rsid w:val="00050E9E"/>
    <w:rsid w:val="005D68EA"/>
    <w:rsid w:val="006E08E6"/>
    <w:rsid w:val="00CF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1A5CF-06AE-4F20-A120-8F9C1022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E08E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E08E6"/>
    <w:rPr>
      <w:rFonts w:ascii="宋体" w:eastAsia="宋体" w:hAnsi="宋体" w:cs="宋体"/>
      <w:b/>
      <w:bCs/>
      <w:kern w:val="0"/>
      <w:sz w:val="36"/>
      <w:szCs w:val="36"/>
    </w:rPr>
  </w:style>
  <w:style w:type="paragraph" w:styleId="a3">
    <w:name w:val="Normal (Web)"/>
    <w:basedOn w:val="a"/>
    <w:uiPriority w:val="99"/>
    <w:semiHidden/>
    <w:unhideWhenUsed/>
    <w:rsid w:val="006E08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0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30961">
      <w:bodyDiv w:val="1"/>
      <w:marLeft w:val="0"/>
      <w:marRight w:val="0"/>
      <w:marTop w:val="0"/>
      <w:marBottom w:val="0"/>
      <w:divBdr>
        <w:top w:val="none" w:sz="0" w:space="0" w:color="auto"/>
        <w:left w:val="none" w:sz="0" w:space="0" w:color="auto"/>
        <w:bottom w:val="none" w:sz="0" w:space="0" w:color="auto"/>
        <w:right w:val="none" w:sz="0" w:space="0" w:color="auto"/>
      </w:divBdr>
    </w:div>
    <w:div w:id="15589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dc:creator>
  <cp:keywords/>
  <dc:description/>
  <cp:lastModifiedBy>BUPT</cp:lastModifiedBy>
  <cp:revision>7</cp:revision>
  <dcterms:created xsi:type="dcterms:W3CDTF">2023-12-13T07:12:00Z</dcterms:created>
  <dcterms:modified xsi:type="dcterms:W3CDTF">2023-12-13T07:16:00Z</dcterms:modified>
</cp:coreProperties>
</file>